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EA47E2">
        <w:rPr>
          <w:rFonts w:ascii="Calibri Light" w:hAnsi="Calibri Light" w:cs="Calibri Light"/>
        </w:rPr>
        <w:t>Nenad</w:t>
      </w:r>
      <w:proofErr w:type="spellEnd"/>
      <w:r w:rsidR="00EA47E2">
        <w:rPr>
          <w:rFonts w:ascii="Calibri Light" w:hAnsi="Calibri Light" w:cs="Calibri Light"/>
        </w:rPr>
        <w:t xml:space="preserve"> </w:t>
      </w:r>
      <w:proofErr w:type="spellStart"/>
      <w:r w:rsidR="00EA47E2">
        <w:rPr>
          <w:rFonts w:ascii="Calibri Light" w:hAnsi="Calibri Light" w:cs="Calibri Light"/>
        </w:rPr>
        <w:t>Marković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EA47E2">
        <w:rPr>
          <w:rFonts w:asciiTheme="majorHAnsi" w:hAnsiTheme="majorHAnsi" w:cstheme="majorHAnsi"/>
        </w:rPr>
        <w:t>nen.mark74</w:t>
      </w:r>
      <w:r w:rsidR="00EA47E2" w:rsidRPr="006B16D0">
        <w:rPr>
          <w:rFonts w:asciiTheme="majorHAnsi" w:hAnsiTheme="majorHAnsi" w:cstheme="majorHAnsi"/>
        </w:rPr>
        <w:t>@yahoo.com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B1300" w:rsidRPr="006B16D0">
        <w:rPr>
          <w:rFonts w:asciiTheme="majorHAnsi" w:hAnsiTheme="majorHAnsi" w:cstheme="majorHAnsi"/>
        </w:rPr>
        <w:t xml:space="preserve">Technical College of Applied Sciences </w:t>
      </w:r>
      <w:proofErr w:type="spellStart"/>
      <w:r w:rsidR="00DB1300" w:rsidRPr="006B16D0">
        <w:rPr>
          <w:rFonts w:asciiTheme="majorHAnsi" w:hAnsiTheme="majorHAnsi" w:cstheme="majorHAnsi"/>
        </w:rPr>
        <w:t>Urosevac</w:t>
      </w:r>
      <w:proofErr w:type="spellEnd"/>
      <w:r w:rsidR="00DB1300" w:rsidRPr="006B16D0">
        <w:rPr>
          <w:rFonts w:asciiTheme="majorHAnsi" w:hAnsiTheme="majorHAnsi" w:cstheme="majorHAnsi"/>
        </w:rPr>
        <w:t xml:space="preserve"> with temporary seat in </w:t>
      </w:r>
      <w:proofErr w:type="spellStart"/>
      <w:r w:rsidR="00DB1300" w:rsidRPr="006B16D0">
        <w:rPr>
          <w:rFonts w:asciiTheme="majorHAnsi" w:hAnsiTheme="majorHAnsi" w:cstheme="majorHAnsi"/>
        </w:rPr>
        <w:t>Leposavic</w:t>
      </w:r>
      <w:proofErr w:type="spellEnd"/>
    </w:p>
    <w:tbl>
      <w:tblPr>
        <w:tblStyle w:val="TableGrid"/>
        <w:tblW w:w="10916" w:type="dxa"/>
        <w:tblInd w:w="-743" w:type="dxa"/>
        <w:tblLook w:val="04A0"/>
      </w:tblPr>
      <w:tblGrid>
        <w:gridCol w:w="3545"/>
        <w:gridCol w:w="7371"/>
      </w:tblGrid>
      <w:tr w:rsidR="00EA47E2" w:rsidTr="00E610A9">
        <w:tc>
          <w:tcPr>
            <w:tcW w:w="3545" w:type="dxa"/>
          </w:tcPr>
          <w:p w:rsidR="00EA47E2" w:rsidRDefault="00EA47E2" w:rsidP="00A21416">
            <w:pPr>
              <w:spacing w:before="120" w:after="120"/>
              <w:rPr>
                <w:rFonts w:asciiTheme="majorHAnsi" w:hAnsiTheme="majorHAnsi" w:cstheme="majorHAnsi"/>
              </w:rPr>
            </w:pPr>
          </w:p>
          <w:p w:rsidR="00EA47E2" w:rsidRPr="00F31445" w:rsidRDefault="00EA47E2" w:rsidP="00A21416">
            <w:pPr>
              <w:spacing w:before="120" w:after="120"/>
              <w:rPr>
                <w:rFonts w:asciiTheme="majorHAnsi" w:hAnsiTheme="majorHAnsi" w:cstheme="majorHAnsi"/>
              </w:rPr>
            </w:pPr>
            <w:r>
              <w:rPr>
                <w:rFonts w:asciiTheme="majorHAnsi" w:hAnsiTheme="majorHAnsi" w:cstheme="majorHAnsi"/>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75502</wp:posOffset>
                  </wp:positionV>
                  <wp:extent cx="1099990" cy="1098998"/>
                  <wp:effectExtent l="19050" t="0" r="4910" b="0"/>
                  <wp:wrapNone/>
                  <wp:docPr id="39" name="Picture 1" descr="C:\Users\ZILE\Downloads\ne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E\Downloads\nenmark.jpg"/>
                          <pic:cNvPicPr>
                            <a:picLocks noChangeAspect="1" noChangeArrowheads="1"/>
                          </pic:cNvPicPr>
                        </pic:nvPicPr>
                        <pic:blipFill>
                          <a:blip r:embed="rId7" cstate="print"/>
                          <a:srcRect/>
                          <a:stretch>
                            <a:fillRect/>
                          </a:stretch>
                        </pic:blipFill>
                        <pic:spPr bwMode="auto">
                          <a:xfrm>
                            <a:off x="0" y="0"/>
                            <a:ext cx="1099990" cy="1098998"/>
                          </a:xfrm>
                          <a:prstGeom prst="rect">
                            <a:avLst/>
                          </a:prstGeom>
                          <a:noFill/>
                          <a:ln w="9525">
                            <a:noFill/>
                            <a:miter lim="800000"/>
                            <a:headEnd/>
                            <a:tailEnd/>
                          </a:ln>
                        </pic:spPr>
                      </pic:pic>
                    </a:graphicData>
                  </a:graphic>
                </wp:anchor>
              </w:drawing>
            </w:r>
          </w:p>
        </w:tc>
        <w:tc>
          <w:tcPr>
            <w:tcW w:w="7371" w:type="dxa"/>
          </w:tcPr>
          <w:p w:rsidR="00EA47E2" w:rsidRPr="00F31445" w:rsidRDefault="00EA47E2" w:rsidP="00EA47E2">
            <w:pPr>
              <w:tabs>
                <w:tab w:val="left" w:pos="3649"/>
                <w:tab w:val="left" w:pos="5349"/>
                <w:tab w:val="left" w:pos="7992"/>
                <w:tab w:val="left" w:pos="9409"/>
                <w:tab w:val="left" w:pos="10778"/>
              </w:tabs>
              <w:jc w:val="both"/>
              <w:rPr>
                <w:rFonts w:asciiTheme="majorHAnsi" w:hAnsiTheme="majorHAnsi" w:cstheme="majorHAnsi"/>
              </w:rPr>
            </w:pPr>
            <w:r w:rsidRPr="00F31445">
              <w:rPr>
                <w:rFonts w:asciiTheme="majorHAnsi" w:hAnsiTheme="majorHAnsi" w:cstheme="majorHAnsi"/>
                <w:b/>
              </w:rPr>
              <w:t>Education</w:t>
            </w:r>
            <w:r w:rsidRPr="00F31445">
              <w:rPr>
                <w:rFonts w:asciiTheme="majorHAnsi" w:hAnsiTheme="majorHAnsi" w:cstheme="majorHAnsi"/>
              </w:rPr>
              <w:t xml:space="preserve">: MA of Electrical and Computer Engineering. Currently working on PhD thesis in Electrical Engineering at Faculty of Technical Sciences, </w:t>
            </w:r>
            <w:proofErr w:type="spellStart"/>
            <w:r w:rsidRPr="00F31445">
              <w:rPr>
                <w:rFonts w:asciiTheme="majorHAnsi" w:hAnsiTheme="majorHAnsi" w:cstheme="majorHAnsi"/>
              </w:rPr>
              <w:t>Cacak</w:t>
            </w:r>
            <w:proofErr w:type="spellEnd"/>
            <w:r w:rsidRPr="00F31445">
              <w:rPr>
                <w:rFonts w:asciiTheme="majorHAnsi" w:hAnsiTheme="majorHAnsi" w:cstheme="majorHAnsi"/>
              </w:rPr>
              <w:t>.</w:t>
            </w:r>
          </w:p>
          <w:p w:rsidR="00EA47E2" w:rsidRPr="00F31445" w:rsidRDefault="00EA47E2" w:rsidP="00EA47E2">
            <w:pPr>
              <w:tabs>
                <w:tab w:val="left" w:pos="3649"/>
                <w:tab w:val="left" w:pos="5349"/>
                <w:tab w:val="left" w:pos="7992"/>
                <w:tab w:val="left" w:pos="9409"/>
                <w:tab w:val="left" w:pos="10778"/>
              </w:tabs>
              <w:jc w:val="both"/>
              <w:rPr>
                <w:rFonts w:asciiTheme="majorHAnsi" w:hAnsiTheme="majorHAnsi" w:cstheme="majorHAnsi"/>
              </w:rPr>
            </w:pPr>
            <w:r w:rsidRPr="00F31445">
              <w:rPr>
                <w:rFonts w:asciiTheme="majorHAnsi" w:hAnsiTheme="majorHAnsi" w:cstheme="majorHAnsi"/>
                <w:b/>
              </w:rPr>
              <w:t>Position:</w:t>
            </w:r>
            <w:r w:rsidRPr="00F31445">
              <w:rPr>
                <w:rFonts w:asciiTheme="majorHAnsi" w:hAnsiTheme="majorHAnsi" w:cstheme="majorHAnsi"/>
              </w:rPr>
              <w:t xml:space="preserve"> Lecturer, Assistant Director for Education at the Technical College of Applied Sciences </w:t>
            </w:r>
            <w:proofErr w:type="spellStart"/>
            <w:r w:rsidRPr="00F31445">
              <w:rPr>
                <w:rFonts w:asciiTheme="majorHAnsi" w:hAnsiTheme="majorHAnsi" w:cstheme="majorHAnsi"/>
              </w:rPr>
              <w:t>Urosevac</w:t>
            </w:r>
            <w:proofErr w:type="spellEnd"/>
            <w:r w:rsidRPr="00F31445">
              <w:rPr>
                <w:rFonts w:asciiTheme="majorHAnsi" w:hAnsiTheme="majorHAnsi" w:cstheme="majorHAnsi"/>
              </w:rPr>
              <w:t xml:space="preserve"> with temporary seat in </w:t>
            </w:r>
            <w:proofErr w:type="spellStart"/>
            <w:r w:rsidRPr="00F31445">
              <w:rPr>
                <w:rFonts w:asciiTheme="majorHAnsi" w:hAnsiTheme="majorHAnsi" w:cstheme="majorHAnsi"/>
              </w:rPr>
              <w:t>Leposavic</w:t>
            </w:r>
            <w:proofErr w:type="spellEnd"/>
            <w:r w:rsidRPr="00F31445">
              <w:rPr>
                <w:rFonts w:asciiTheme="majorHAnsi" w:hAnsiTheme="majorHAnsi" w:cstheme="majorHAnsi"/>
              </w:rPr>
              <w:t>.</w:t>
            </w:r>
          </w:p>
          <w:p w:rsidR="00EA47E2" w:rsidRPr="009A0B09" w:rsidRDefault="00EA47E2" w:rsidP="00EA47E2">
            <w:pPr>
              <w:jc w:val="both"/>
              <w:rPr>
                <w:rFonts w:asciiTheme="majorHAnsi" w:hAnsiTheme="majorHAnsi" w:cstheme="majorHAnsi"/>
              </w:rPr>
            </w:pPr>
            <w:r w:rsidRPr="00F31445">
              <w:rPr>
                <w:rFonts w:asciiTheme="majorHAnsi" w:hAnsiTheme="majorHAnsi" w:cstheme="majorHAnsi"/>
                <w:b/>
              </w:rPr>
              <w:t>Organizational skills:</w:t>
            </w:r>
            <w:r w:rsidRPr="00F31445">
              <w:rPr>
                <w:rFonts w:asciiTheme="majorHAnsi" w:hAnsiTheme="majorHAnsi" w:cstheme="majorHAnsi"/>
              </w:rPr>
              <w:t xml:space="preserve"> From 2005 he has was engaged on projects for training the personnel in basic and specialized IT training through the National technique and the National Employment Service </w:t>
            </w:r>
            <w:proofErr w:type="spellStart"/>
            <w:r w:rsidRPr="00F31445">
              <w:rPr>
                <w:rFonts w:asciiTheme="majorHAnsi" w:hAnsiTheme="majorHAnsi" w:cstheme="majorHAnsi"/>
              </w:rPr>
              <w:t>Kosovska</w:t>
            </w:r>
            <w:proofErr w:type="spellEnd"/>
            <w:r w:rsidRPr="00F31445">
              <w:rPr>
                <w:rFonts w:asciiTheme="majorHAnsi" w:hAnsiTheme="majorHAnsi" w:cstheme="majorHAnsi"/>
              </w:rPr>
              <w:t xml:space="preserve"> </w:t>
            </w:r>
            <w:proofErr w:type="spellStart"/>
            <w:r w:rsidRPr="00F31445">
              <w:rPr>
                <w:rFonts w:asciiTheme="majorHAnsi" w:hAnsiTheme="majorHAnsi" w:cstheme="majorHAnsi"/>
              </w:rPr>
              <w:t>Mitrovica</w:t>
            </w:r>
            <w:proofErr w:type="spellEnd"/>
            <w:r w:rsidRPr="00F31445">
              <w:rPr>
                <w:rFonts w:asciiTheme="majorHAnsi" w:hAnsiTheme="majorHAnsi" w:cstheme="majorHAnsi"/>
              </w:rPr>
              <w:t>, from 2006 to the present he was a part of all Teams in charged for accreditation of institutions, first degree and specialist study programs; he is the President of the Commission for feasibility study of self-assessment. Since 2012, he shows exceptional leadership skills in the management of the school as an assistant director for education, and has been engaged in teaching at all study programs.</w:t>
            </w:r>
          </w:p>
        </w:tc>
      </w:tr>
      <w:tr w:rsidR="00EA47E2" w:rsidTr="001A4729">
        <w:tc>
          <w:tcPr>
            <w:tcW w:w="10916" w:type="dxa"/>
            <w:gridSpan w:val="2"/>
          </w:tcPr>
          <w:p w:rsidR="00EA47E2" w:rsidRPr="000A05EB" w:rsidRDefault="00EA47E2" w:rsidP="00EA47E2">
            <w:pPr>
              <w:autoSpaceDE w:val="0"/>
              <w:autoSpaceDN w:val="0"/>
              <w:adjustRightInd w:val="0"/>
              <w:ind w:left="720" w:hanging="720"/>
              <w:jc w:val="both"/>
              <w:rPr>
                <w:rFonts w:asciiTheme="majorHAnsi" w:hAnsiTheme="majorHAnsi" w:cstheme="majorHAnsi"/>
              </w:rPr>
            </w:pPr>
            <w:r>
              <w:rPr>
                <w:rFonts w:asciiTheme="majorHAnsi" w:hAnsiTheme="majorHAnsi" w:cstheme="majorHAnsi"/>
              </w:rPr>
              <w:t xml:space="preserve">1. </w:t>
            </w:r>
            <w:r w:rsidRPr="000A05EB">
              <w:rPr>
                <w:rFonts w:asciiTheme="majorHAnsi" w:hAnsiTheme="majorHAnsi" w:cstheme="majorHAnsi"/>
              </w:rPr>
              <w:t xml:space="preserve">N. </w:t>
            </w:r>
            <w:proofErr w:type="spellStart"/>
            <w:r w:rsidRPr="000A05EB">
              <w:rPr>
                <w:rFonts w:asciiTheme="majorHAnsi" w:hAnsiTheme="majorHAnsi" w:cstheme="majorHAnsi"/>
              </w:rPr>
              <w:t>Marković</w:t>
            </w:r>
            <w:proofErr w:type="spellEnd"/>
            <w:r w:rsidRPr="000A05EB">
              <w:rPr>
                <w:rFonts w:asciiTheme="majorHAnsi" w:hAnsiTheme="majorHAnsi" w:cstheme="majorHAnsi"/>
              </w:rPr>
              <w:t xml:space="preserve">, S. </w:t>
            </w:r>
            <w:proofErr w:type="spellStart"/>
            <w:r w:rsidRPr="000A05EB">
              <w:rPr>
                <w:rFonts w:asciiTheme="majorHAnsi" w:hAnsiTheme="majorHAnsi" w:cstheme="majorHAnsi"/>
              </w:rPr>
              <w:t>Bjelić</w:t>
            </w:r>
            <w:proofErr w:type="spellEnd"/>
            <w:r w:rsidRPr="000A05EB">
              <w:rPr>
                <w:rFonts w:asciiTheme="majorHAnsi" w:hAnsiTheme="majorHAnsi" w:cstheme="majorHAnsi"/>
              </w:rPr>
              <w:t xml:space="preserve">, J. </w:t>
            </w:r>
            <w:proofErr w:type="spellStart"/>
            <w:r w:rsidRPr="000A05EB">
              <w:rPr>
                <w:rFonts w:asciiTheme="majorHAnsi" w:hAnsiTheme="majorHAnsi" w:cstheme="majorHAnsi"/>
              </w:rPr>
              <w:t>Živanić</w:t>
            </w:r>
            <w:proofErr w:type="spellEnd"/>
            <w:r w:rsidRPr="000A05EB">
              <w:rPr>
                <w:rFonts w:asciiTheme="majorHAnsi" w:hAnsiTheme="majorHAnsi" w:cstheme="majorHAnsi"/>
              </w:rPr>
              <w:t xml:space="preserve">, V. </w:t>
            </w:r>
            <w:proofErr w:type="spellStart"/>
            <w:r w:rsidRPr="000A05EB">
              <w:rPr>
                <w:rFonts w:asciiTheme="majorHAnsi" w:hAnsiTheme="majorHAnsi" w:cstheme="majorHAnsi"/>
              </w:rPr>
              <w:t>Milićević</w:t>
            </w:r>
            <w:proofErr w:type="spellEnd"/>
            <w:r w:rsidRPr="000A05EB">
              <w:rPr>
                <w:rFonts w:asciiTheme="majorHAnsi" w:hAnsiTheme="majorHAnsi" w:cstheme="majorHAnsi"/>
              </w:rPr>
              <w:t xml:space="preserve">, Z. </w:t>
            </w:r>
            <w:proofErr w:type="spellStart"/>
            <w:r w:rsidRPr="000A05EB">
              <w:rPr>
                <w:rFonts w:asciiTheme="majorHAnsi" w:hAnsiTheme="majorHAnsi" w:cstheme="majorHAnsi"/>
              </w:rPr>
              <w:t>Milićević</w:t>
            </w:r>
            <w:proofErr w:type="spellEnd"/>
            <w:r w:rsidRPr="000A05EB">
              <w:rPr>
                <w:rFonts w:asciiTheme="majorHAnsi" w:hAnsiTheme="majorHAnsi" w:cstheme="majorHAnsi"/>
              </w:rPr>
              <w:t xml:space="preserve">, Model of Transient Process Where Three-Phase Transducer Feeds Induction Motor </w:t>
            </w:r>
            <w:proofErr w:type="spellStart"/>
            <w:r w:rsidRPr="000A05EB">
              <w:rPr>
                <w:rFonts w:asciiTheme="majorHAnsi" w:hAnsiTheme="majorHAnsi" w:cstheme="majorHAnsi"/>
              </w:rPr>
              <w:t>Equivalented</w:t>
            </w:r>
            <w:proofErr w:type="spellEnd"/>
            <w:r w:rsidRPr="000A05EB">
              <w:rPr>
                <w:rFonts w:asciiTheme="majorHAnsi" w:hAnsiTheme="majorHAnsi" w:cstheme="majorHAnsi"/>
              </w:rPr>
              <w:t xml:space="preserve"> as a Variable Active-Inductive Load, Mathematical Problems in Engineering, Publisher: </w:t>
            </w:r>
            <w:proofErr w:type="spellStart"/>
            <w:r w:rsidRPr="000A05EB">
              <w:rPr>
                <w:rFonts w:asciiTheme="majorHAnsi" w:hAnsiTheme="majorHAnsi" w:cstheme="majorHAnsi"/>
              </w:rPr>
              <w:t>Hindawi</w:t>
            </w:r>
            <w:proofErr w:type="spellEnd"/>
            <w:r w:rsidRPr="000A05EB">
              <w:rPr>
                <w:rFonts w:asciiTheme="majorHAnsi" w:hAnsiTheme="majorHAnsi" w:cstheme="majorHAnsi"/>
              </w:rPr>
              <w:t>, Volume 2016, Article ID 6740261, 14 pages, http://dx.doi.org/10.1155/2016/6740261, Research Article, 2016. [M23]</w:t>
            </w:r>
          </w:p>
          <w:p w:rsidR="00EA47E2" w:rsidRPr="000A05EB" w:rsidRDefault="00EA47E2" w:rsidP="00EA47E2">
            <w:pPr>
              <w:autoSpaceDE w:val="0"/>
              <w:autoSpaceDN w:val="0"/>
              <w:adjustRightInd w:val="0"/>
              <w:ind w:left="720" w:hanging="720"/>
              <w:jc w:val="both"/>
              <w:rPr>
                <w:rFonts w:asciiTheme="majorHAnsi" w:hAnsiTheme="majorHAnsi" w:cstheme="majorHAnsi"/>
              </w:rPr>
            </w:pPr>
            <w:r>
              <w:rPr>
                <w:rFonts w:asciiTheme="majorHAnsi" w:hAnsiTheme="majorHAnsi" w:cstheme="majorHAnsi"/>
              </w:rPr>
              <w:t xml:space="preserve">2. </w:t>
            </w:r>
            <w:r w:rsidRPr="000A05EB">
              <w:rPr>
                <w:rFonts w:asciiTheme="majorHAnsi" w:hAnsiTheme="majorHAnsi" w:cstheme="majorHAnsi"/>
              </w:rPr>
              <w:t xml:space="preserve">N. </w:t>
            </w:r>
            <w:proofErr w:type="spellStart"/>
            <w:r w:rsidRPr="000A05EB">
              <w:rPr>
                <w:rFonts w:asciiTheme="majorHAnsi" w:hAnsiTheme="majorHAnsi" w:cstheme="majorHAnsi"/>
              </w:rPr>
              <w:t>Marković</w:t>
            </w:r>
            <w:proofErr w:type="spellEnd"/>
            <w:r w:rsidRPr="000A05EB">
              <w:rPr>
                <w:rFonts w:asciiTheme="majorHAnsi" w:hAnsiTheme="majorHAnsi" w:cstheme="majorHAnsi"/>
              </w:rPr>
              <w:t xml:space="preserve">, S. </w:t>
            </w:r>
            <w:proofErr w:type="spellStart"/>
            <w:r w:rsidRPr="000A05EB">
              <w:rPr>
                <w:rFonts w:asciiTheme="majorHAnsi" w:hAnsiTheme="majorHAnsi" w:cstheme="majorHAnsi"/>
              </w:rPr>
              <w:t>Bjelić</w:t>
            </w:r>
            <w:proofErr w:type="spellEnd"/>
            <w:r w:rsidRPr="000A05EB">
              <w:rPr>
                <w:rFonts w:asciiTheme="majorHAnsi" w:hAnsiTheme="majorHAnsi" w:cstheme="majorHAnsi"/>
              </w:rPr>
              <w:t xml:space="preserve">, J. </w:t>
            </w:r>
            <w:proofErr w:type="spellStart"/>
            <w:r w:rsidRPr="000A05EB">
              <w:rPr>
                <w:rFonts w:asciiTheme="majorHAnsi" w:hAnsiTheme="majorHAnsi" w:cstheme="majorHAnsi"/>
              </w:rPr>
              <w:t>Živanić</w:t>
            </w:r>
            <w:proofErr w:type="spellEnd"/>
            <w:r w:rsidRPr="000A05EB">
              <w:rPr>
                <w:rFonts w:asciiTheme="majorHAnsi" w:hAnsiTheme="majorHAnsi" w:cstheme="majorHAnsi"/>
              </w:rPr>
              <w:t xml:space="preserve">, U. </w:t>
            </w:r>
            <w:proofErr w:type="spellStart"/>
            <w:r w:rsidRPr="000A05EB">
              <w:rPr>
                <w:rFonts w:asciiTheme="majorHAnsi" w:hAnsiTheme="majorHAnsi" w:cstheme="majorHAnsi"/>
              </w:rPr>
              <w:t>Jakšić</w:t>
            </w:r>
            <w:proofErr w:type="spellEnd"/>
            <w:r w:rsidRPr="000A05EB">
              <w:rPr>
                <w:rFonts w:asciiTheme="majorHAnsi" w:hAnsiTheme="majorHAnsi" w:cstheme="majorHAnsi"/>
              </w:rPr>
              <w:t xml:space="preserve">, Simulation of the Impact of Higher Harmonics on the Transient Process of Induction Machine Fed From PWM Inverters, </w:t>
            </w:r>
            <w:proofErr w:type="spellStart"/>
            <w:r w:rsidRPr="000A05EB">
              <w:rPr>
                <w:rFonts w:asciiTheme="majorHAnsi" w:hAnsiTheme="majorHAnsi" w:cstheme="majorHAnsi"/>
              </w:rPr>
              <w:t>Tehnički</w:t>
            </w:r>
            <w:proofErr w:type="spellEnd"/>
            <w:r w:rsidRPr="000A05EB">
              <w:rPr>
                <w:rFonts w:asciiTheme="majorHAnsi" w:hAnsiTheme="majorHAnsi" w:cstheme="majorHAnsi"/>
              </w:rPr>
              <w:t xml:space="preserve"> </w:t>
            </w:r>
            <w:proofErr w:type="spellStart"/>
            <w:r w:rsidRPr="000A05EB">
              <w:rPr>
                <w:rFonts w:asciiTheme="majorHAnsi" w:hAnsiTheme="majorHAnsi" w:cstheme="majorHAnsi"/>
              </w:rPr>
              <w:t>vjesnik</w:t>
            </w:r>
            <w:proofErr w:type="spellEnd"/>
            <w:r w:rsidRPr="000A05EB">
              <w:rPr>
                <w:rFonts w:asciiTheme="majorHAnsi" w:hAnsiTheme="majorHAnsi" w:cstheme="majorHAnsi"/>
              </w:rPr>
              <w:t xml:space="preserve">/Technical Gazette, Scientific professional journal of technical faculties of the </w:t>
            </w:r>
            <w:proofErr w:type="spellStart"/>
            <w:r w:rsidRPr="000A05EB">
              <w:rPr>
                <w:rFonts w:asciiTheme="majorHAnsi" w:hAnsiTheme="majorHAnsi" w:cstheme="majorHAnsi"/>
              </w:rPr>
              <w:t>Josip</w:t>
            </w:r>
            <w:proofErr w:type="spellEnd"/>
            <w:r w:rsidRPr="000A05EB">
              <w:rPr>
                <w:rFonts w:asciiTheme="majorHAnsi" w:hAnsiTheme="majorHAnsi" w:cstheme="majorHAnsi"/>
              </w:rPr>
              <w:t xml:space="preserve"> </w:t>
            </w:r>
            <w:proofErr w:type="spellStart"/>
            <w:r w:rsidRPr="000A05EB">
              <w:rPr>
                <w:rFonts w:asciiTheme="majorHAnsi" w:hAnsiTheme="majorHAnsi" w:cstheme="majorHAnsi"/>
              </w:rPr>
              <w:t>Juraj</w:t>
            </w:r>
            <w:proofErr w:type="spellEnd"/>
            <w:r w:rsidRPr="000A05EB">
              <w:rPr>
                <w:rFonts w:asciiTheme="majorHAnsi" w:hAnsiTheme="majorHAnsi" w:cstheme="majorHAnsi"/>
              </w:rPr>
              <w:t xml:space="preserve"> </w:t>
            </w:r>
            <w:proofErr w:type="spellStart"/>
            <w:r w:rsidRPr="000A05EB">
              <w:rPr>
                <w:rFonts w:asciiTheme="majorHAnsi" w:hAnsiTheme="majorHAnsi" w:cstheme="majorHAnsi"/>
              </w:rPr>
              <w:t>Strossmayer</w:t>
            </w:r>
            <w:proofErr w:type="spellEnd"/>
            <w:r w:rsidRPr="000A05EB">
              <w:rPr>
                <w:rFonts w:asciiTheme="majorHAnsi" w:hAnsiTheme="majorHAnsi" w:cstheme="majorHAnsi"/>
              </w:rPr>
              <w:t xml:space="preserve"> University of Osijek, Croatia, DOI Number: 10.17559/TV-20150502231618, (Print: ISSN 1330-3651, Online: ISSN 1848-6339), Vol. 24/No. 1, page 265-271, Preliminary communication, February 2017. [M23]</w:t>
            </w:r>
          </w:p>
          <w:p w:rsidR="00EA47E2" w:rsidRPr="000A05EB" w:rsidRDefault="00EA47E2" w:rsidP="00EA47E2">
            <w:pPr>
              <w:autoSpaceDE w:val="0"/>
              <w:autoSpaceDN w:val="0"/>
              <w:adjustRightInd w:val="0"/>
              <w:ind w:left="720" w:hanging="720"/>
              <w:jc w:val="both"/>
              <w:rPr>
                <w:rFonts w:asciiTheme="majorHAnsi" w:hAnsiTheme="majorHAnsi" w:cstheme="majorHAnsi"/>
              </w:rPr>
            </w:pPr>
            <w:r>
              <w:rPr>
                <w:rFonts w:asciiTheme="majorHAnsi" w:hAnsiTheme="majorHAnsi" w:cstheme="majorHAnsi"/>
              </w:rPr>
              <w:t xml:space="preserve">3. </w:t>
            </w:r>
            <w:r w:rsidRPr="000A05EB">
              <w:rPr>
                <w:rFonts w:asciiTheme="majorHAnsi" w:hAnsiTheme="majorHAnsi" w:cstheme="majorHAnsi"/>
              </w:rPr>
              <w:t xml:space="preserve">N. </w:t>
            </w:r>
            <w:proofErr w:type="spellStart"/>
            <w:r w:rsidRPr="000A05EB">
              <w:rPr>
                <w:rFonts w:asciiTheme="majorHAnsi" w:hAnsiTheme="majorHAnsi" w:cstheme="majorHAnsi"/>
              </w:rPr>
              <w:t>Marković</w:t>
            </w:r>
            <w:proofErr w:type="spellEnd"/>
            <w:r w:rsidRPr="000A05EB">
              <w:rPr>
                <w:rFonts w:asciiTheme="majorHAnsi" w:hAnsiTheme="majorHAnsi" w:cstheme="majorHAnsi"/>
              </w:rPr>
              <w:t xml:space="preserve">, J. </w:t>
            </w:r>
            <w:proofErr w:type="spellStart"/>
            <w:r w:rsidRPr="000A05EB">
              <w:rPr>
                <w:rFonts w:asciiTheme="majorHAnsi" w:hAnsiTheme="majorHAnsi" w:cstheme="majorHAnsi"/>
              </w:rPr>
              <w:t>Živanić</w:t>
            </w:r>
            <w:proofErr w:type="spellEnd"/>
            <w:r w:rsidRPr="000A05EB">
              <w:rPr>
                <w:rFonts w:asciiTheme="majorHAnsi" w:hAnsiTheme="majorHAnsi" w:cstheme="majorHAnsi"/>
              </w:rPr>
              <w:t xml:space="preserve">, Z. </w:t>
            </w:r>
            <w:proofErr w:type="spellStart"/>
            <w:r w:rsidRPr="000A05EB">
              <w:rPr>
                <w:rFonts w:asciiTheme="majorHAnsi" w:hAnsiTheme="majorHAnsi" w:cstheme="majorHAnsi"/>
              </w:rPr>
              <w:t>Lazarević</w:t>
            </w:r>
            <w:proofErr w:type="spellEnd"/>
            <w:r w:rsidRPr="000A05EB">
              <w:rPr>
                <w:rFonts w:asciiTheme="majorHAnsi" w:hAnsiTheme="majorHAnsi" w:cstheme="majorHAnsi"/>
              </w:rPr>
              <w:t xml:space="preserve">, B. </w:t>
            </w:r>
            <w:proofErr w:type="spellStart"/>
            <w:r w:rsidRPr="000A05EB">
              <w:rPr>
                <w:rFonts w:asciiTheme="majorHAnsi" w:hAnsiTheme="majorHAnsi" w:cstheme="majorHAnsi"/>
              </w:rPr>
              <w:t>Iričanin</w:t>
            </w:r>
            <w:proofErr w:type="spellEnd"/>
            <w:r w:rsidRPr="000A05EB">
              <w:rPr>
                <w:rFonts w:asciiTheme="majorHAnsi" w:hAnsiTheme="majorHAnsi" w:cstheme="majorHAnsi"/>
              </w:rPr>
              <w:t xml:space="preserve">, The Mathematical Model for Analysis and Evaluation of the Transient Process of the three‒phase Asynchronous Machine Performance, Serbian Journal of Electrical Engineering, Publisher: University of </w:t>
            </w:r>
            <w:proofErr w:type="spellStart"/>
            <w:r w:rsidRPr="000A05EB">
              <w:rPr>
                <w:rFonts w:asciiTheme="majorHAnsi" w:hAnsiTheme="majorHAnsi" w:cstheme="majorHAnsi"/>
              </w:rPr>
              <w:t>Kragujevac</w:t>
            </w:r>
            <w:proofErr w:type="spellEnd"/>
            <w:r w:rsidRPr="000A05EB">
              <w:rPr>
                <w:rFonts w:asciiTheme="majorHAnsi" w:hAnsiTheme="majorHAnsi" w:cstheme="majorHAnsi"/>
              </w:rPr>
              <w:t>, Faculty of Science, Vol. 15, No. 3, October 2018, 319-337, UDC: 621.313.33:519.87, DOI: https://doi.org/10.2298/SJEE1803319M. [M24]</w:t>
            </w:r>
          </w:p>
          <w:p w:rsidR="00EA47E2" w:rsidRPr="000A05EB" w:rsidRDefault="00EA47E2" w:rsidP="00EA47E2">
            <w:pPr>
              <w:autoSpaceDE w:val="0"/>
              <w:autoSpaceDN w:val="0"/>
              <w:adjustRightInd w:val="0"/>
              <w:ind w:left="720" w:hanging="720"/>
              <w:jc w:val="both"/>
              <w:rPr>
                <w:rFonts w:asciiTheme="majorHAnsi" w:hAnsiTheme="majorHAnsi" w:cstheme="majorHAnsi"/>
              </w:rPr>
            </w:pPr>
            <w:r>
              <w:rPr>
                <w:rFonts w:asciiTheme="majorHAnsi" w:hAnsiTheme="majorHAnsi" w:cstheme="majorHAnsi"/>
              </w:rPr>
              <w:t xml:space="preserve">4. </w:t>
            </w:r>
            <w:r w:rsidRPr="000A05EB">
              <w:rPr>
                <w:rFonts w:asciiTheme="majorHAnsi" w:hAnsiTheme="majorHAnsi" w:cstheme="majorHAnsi"/>
              </w:rPr>
              <w:t xml:space="preserve">U. </w:t>
            </w:r>
            <w:proofErr w:type="spellStart"/>
            <w:r w:rsidRPr="000A05EB">
              <w:rPr>
                <w:rFonts w:asciiTheme="majorHAnsi" w:hAnsiTheme="majorHAnsi" w:cstheme="majorHAnsi"/>
              </w:rPr>
              <w:t>Jakšić</w:t>
            </w:r>
            <w:proofErr w:type="spellEnd"/>
            <w:r w:rsidRPr="000A05EB">
              <w:rPr>
                <w:rFonts w:asciiTheme="majorHAnsi" w:hAnsiTheme="majorHAnsi" w:cstheme="majorHAnsi"/>
              </w:rPr>
              <w:t xml:space="preserve">, N. </w:t>
            </w:r>
            <w:proofErr w:type="spellStart"/>
            <w:r w:rsidRPr="000A05EB">
              <w:rPr>
                <w:rFonts w:asciiTheme="majorHAnsi" w:hAnsiTheme="majorHAnsi" w:cstheme="majorHAnsi"/>
              </w:rPr>
              <w:t>Markovic</w:t>
            </w:r>
            <w:proofErr w:type="spellEnd"/>
            <w:r w:rsidRPr="000A05EB">
              <w:rPr>
                <w:rFonts w:asciiTheme="majorHAnsi" w:hAnsiTheme="majorHAnsi" w:cstheme="majorHAnsi"/>
              </w:rPr>
              <w:t xml:space="preserve">, J. </w:t>
            </w:r>
            <w:proofErr w:type="spellStart"/>
            <w:r w:rsidRPr="000A05EB">
              <w:rPr>
                <w:rFonts w:asciiTheme="majorHAnsi" w:hAnsiTheme="majorHAnsi" w:cstheme="majorHAnsi"/>
              </w:rPr>
              <w:t>Živanić</w:t>
            </w:r>
            <w:proofErr w:type="spellEnd"/>
            <w:r w:rsidRPr="000A05EB">
              <w:rPr>
                <w:rFonts w:asciiTheme="majorHAnsi" w:hAnsiTheme="majorHAnsi" w:cstheme="majorHAnsi"/>
              </w:rPr>
              <w:t xml:space="preserve">, N. </w:t>
            </w:r>
            <w:proofErr w:type="spellStart"/>
            <w:r w:rsidRPr="000A05EB">
              <w:rPr>
                <w:rFonts w:asciiTheme="majorHAnsi" w:hAnsiTheme="majorHAnsi" w:cstheme="majorHAnsi"/>
              </w:rPr>
              <w:t>Milenković</w:t>
            </w:r>
            <w:proofErr w:type="spellEnd"/>
            <w:r w:rsidRPr="000A05EB">
              <w:rPr>
                <w:rFonts w:asciiTheme="majorHAnsi" w:hAnsiTheme="majorHAnsi" w:cstheme="majorHAnsi"/>
              </w:rPr>
              <w:t>, Development of the Model for Simulation of Transient Processes in Cables and Power Lines, Original Research Article, 25(6): 1-10, Article no.CJAST.39169, NLM ID: 101664541, Newcastle University, UK, 2018. [M33]</w:t>
            </w:r>
          </w:p>
          <w:p w:rsidR="00EA47E2" w:rsidRDefault="00EA47E2" w:rsidP="00EA47E2">
            <w:pPr>
              <w:ind w:left="720" w:hanging="720"/>
              <w:jc w:val="both"/>
            </w:pPr>
            <w:r>
              <w:rPr>
                <w:rFonts w:asciiTheme="majorHAnsi" w:hAnsiTheme="majorHAnsi" w:cstheme="majorHAnsi"/>
              </w:rPr>
              <w:t xml:space="preserve">5. </w:t>
            </w:r>
            <w:r w:rsidRPr="000A05EB">
              <w:rPr>
                <w:rFonts w:asciiTheme="majorHAnsi" w:hAnsiTheme="majorHAnsi" w:cstheme="majorHAnsi"/>
              </w:rPr>
              <w:t xml:space="preserve">S. </w:t>
            </w:r>
            <w:proofErr w:type="spellStart"/>
            <w:r w:rsidRPr="000A05EB">
              <w:rPr>
                <w:rFonts w:asciiTheme="majorHAnsi" w:hAnsiTheme="majorHAnsi" w:cstheme="majorHAnsi"/>
              </w:rPr>
              <w:t>Bjelić</w:t>
            </w:r>
            <w:proofErr w:type="spellEnd"/>
            <w:r w:rsidRPr="000A05EB">
              <w:rPr>
                <w:rFonts w:asciiTheme="majorHAnsi" w:hAnsiTheme="majorHAnsi" w:cstheme="majorHAnsi"/>
              </w:rPr>
              <w:t xml:space="preserve">, N. </w:t>
            </w:r>
            <w:proofErr w:type="spellStart"/>
            <w:r w:rsidRPr="000A05EB">
              <w:rPr>
                <w:rFonts w:asciiTheme="majorHAnsi" w:hAnsiTheme="majorHAnsi" w:cstheme="majorHAnsi"/>
              </w:rPr>
              <w:t>Marković</w:t>
            </w:r>
            <w:proofErr w:type="spellEnd"/>
            <w:r w:rsidRPr="000A05EB">
              <w:rPr>
                <w:rFonts w:asciiTheme="majorHAnsi" w:hAnsiTheme="majorHAnsi" w:cstheme="majorHAnsi"/>
              </w:rPr>
              <w:t xml:space="preserve">, U. </w:t>
            </w:r>
            <w:proofErr w:type="spellStart"/>
            <w:r w:rsidRPr="000A05EB">
              <w:rPr>
                <w:rFonts w:asciiTheme="majorHAnsi" w:hAnsiTheme="majorHAnsi" w:cstheme="majorHAnsi"/>
              </w:rPr>
              <w:t>Jakšić</w:t>
            </w:r>
            <w:proofErr w:type="spellEnd"/>
            <w:r w:rsidRPr="000A05EB">
              <w:rPr>
                <w:rFonts w:asciiTheme="majorHAnsi" w:hAnsiTheme="majorHAnsi" w:cstheme="majorHAnsi"/>
              </w:rPr>
              <w:t xml:space="preserve">, F. </w:t>
            </w:r>
            <w:proofErr w:type="spellStart"/>
            <w:r w:rsidRPr="000A05EB">
              <w:rPr>
                <w:rFonts w:asciiTheme="majorHAnsi" w:hAnsiTheme="majorHAnsi" w:cstheme="majorHAnsi"/>
              </w:rPr>
              <w:t>Marković</w:t>
            </w:r>
            <w:proofErr w:type="spellEnd"/>
            <w:r w:rsidRPr="000A05EB">
              <w:rPr>
                <w:rFonts w:asciiTheme="majorHAnsi" w:hAnsiTheme="majorHAnsi" w:cstheme="majorHAnsi"/>
              </w:rPr>
              <w:t>, Transient processes in the electric circuit where inverter arbitrarily supplies the one-phase R(L) loading, paper 6.10, Telecommunications Forum, TELFOR 2018, IEEE Co-organized Conference 20nd to 21rd of November 2018, Sava Center, Belgrade, Serbia. [M33]</w:t>
            </w:r>
          </w:p>
        </w:tc>
      </w:tr>
    </w:tbl>
    <w:p w:rsidR="008408D9" w:rsidRDefault="005973D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C6" w:rsidRDefault="00B442C6" w:rsidP="00DE55A3">
      <w:pPr>
        <w:spacing w:after="0" w:line="240" w:lineRule="auto"/>
      </w:pPr>
      <w:r>
        <w:separator/>
      </w:r>
    </w:p>
  </w:endnote>
  <w:endnote w:type="continuationSeparator" w:id="0">
    <w:p w:rsidR="00B442C6" w:rsidRDefault="00B442C6"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5973D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5973D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EA47E2">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C6" w:rsidRDefault="00B442C6" w:rsidP="00DE55A3">
      <w:pPr>
        <w:spacing w:after="0" w:line="240" w:lineRule="auto"/>
      </w:pPr>
      <w:r>
        <w:separator/>
      </w:r>
    </w:p>
  </w:footnote>
  <w:footnote w:type="continuationSeparator" w:id="0">
    <w:p w:rsidR="00B442C6" w:rsidRDefault="00B442C6"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5973D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5842"/>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D3A9A"/>
    <w:rsid w:val="001E0145"/>
    <w:rsid w:val="001F229B"/>
    <w:rsid w:val="00200C0F"/>
    <w:rsid w:val="00210B84"/>
    <w:rsid w:val="00220CDD"/>
    <w:rsid w:val="0023719E"/>
    <w:rsid w:val="00271EB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973D0"/>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5134A"/>
    <w:rsid w:val="008742ED"/>
    <w:rsid w:val="00890B6A"/>
    <w:rsid w:val="00894C29"/>
    <w:rsid w:val="00895CE6"/>
    <w:rsid w:val="008A0D51"/>
    <w:rsid w:val="008C2542"/>
    <w:rsid w:val="008D52DD"/>
    <w:rsid w:val="008F3762"/>
    <w:rsid w:val="008F5679"/>
    <w:rsid w:val="008F7753"/>
    <w:rsid w:val="00912594"/>
    <w:rsid w:val="00936EB3"/>
    <w:rsid w:val="00942455"/>
    <w:rsid w:val="00956BCA"/>
    <w:rsid w:val="009826AD"/>
    <w:rsid w:val="0098641F"/>
    <w:rsid w:val="00991C57"/>
    <w:rsid w:val="009A0B09"/>
    <w:rsid w:val="009C60C3"/>
    <w:rsid w:val="009D5663"/>
    <w:rsid w:val="009D78B6"/>
    <w:rsid w:val="009E451C"/>
    <w:rsid w:val="009F162C"/>
    <w:rsid w:val="009F20AE"/>
    <w:rsid w:val="009F2DF9"/>
    <w:rsid w:val="009F4E8A"/>
    <w:rsid w:val="009F6A25"/>
    <w:rsid w:val="009F6C0D"/>
    <w:rsid w:val="00A10097"/>
    <w:rsid w:val="00A26C2B"/>
    <w:rsid w:val="00A358D1"/>
    <w:rsid w:val="00A528D0"/>
    <w:rsid w:val="00A5384C"/>
    <w:rsid w:val="00A72622"/>
    <w:rsid w:val="00A844EB"/>
    <w:rsid w:val="00A84A28"/>
    <w:rsid w:val="00AD10F1"/>
    <w:rsid w:val="00AF081F"/>
    <w:rsid w:val="00B351E3"/>
    <w:rsid w:val="00B409D6"/>
    <w:rsid w:val="00B442C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B1300"/>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97F0B"/>
    <w:rsid w:val="00EA47E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7101E"/>
    <w:rsid w:val="00F87AE4"/>
    <w:rsid w:val="00FA453C"/>
    <w:rsid w:val="00FC65B2"/>
    <w:rsid w:val="00FD096E"/>
    <w:rsid w:val="00FD1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20</cp:revision>
  <cp:lastPrinted>2018-11-09T00:36:00Z</cp:lastPrinted>
  <dcterms:created xsi:type="dcterms:W3CDTF">2018-11-19T22:46:00Z</dcterms:created>
  <dcterms:modified xsi:type="dcterms:W3CDTF">2018-12-16T18:15:00Z</dcterms:modified>
</cp:coreProperties>
</file>